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BCF12" w14:textId="77777777" w:rsidR="00EC52E8" w:rsidRDefault="00EC52E8" w:rsidP="00EC5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4" w:lineRule="auto"/>
        <w:jc w:val="both"/>
        <w:rPr>
          <w:rFonts w:ascii="Arial" w:eastAsia="Times New Roman" w:hAnsi="Arial" w:cs="Arial"/>
          <w:b/>
          <w:bCs/>
          <w:u w:val="single"/>
          <w:lang w:eastAsia="pl-PL"/>
        </w:rPr>
      </w:pPr>
      <w:r w:rsidRPr="00EC52E8">
        <w:rPr>
          <w:rFonts w:ascii="Arial" w:eastAsia="Times New Roman" w:hAnsi="Arial" w:cs="Arial"/>
          <w:b/>
          <w:bCs/>
          <w:u w:val="single"/>
          <w:lang w:eastAsia="pl-PL"/>
        </w:rPr>
        <w:t>Ogłoszenie Włoskiej Agencji Leków</w:t>
      </w:r>
    </w:p>
    <w:p w14:paraId="31CFE4DE" w14:textId="394D6155" w:rsidR="00A25D7C" w:rsidRPr="00A25D7C" w:rsidRDefault="00A25D7C" w:rsidP="00EC5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4" w:lineRule="auto"/>
        <w:jc w:val="both"/>
        <w:rPr>
          <w:rFonts w:ascii="Arial" w:eastAsia="Times New Roman" w:hAnsi="Arial" w:cs="Arial"/>
          <w:b/>
          <w:bCs/>
          <w:u w:val="single"/>
          <w:lang w:eastAsia="pl-PL"/>
        </w:rPr>
      </w:pPr>
      <w:r w:rsidRPr="00A25D7C">
        <w:rPr>
          <w:rFonts w:ascii="Arial" w:eastAsia="Times New Roman" w:hAnsi="Arial" w:cs="Arial"/>
          <w:lang w:eastAsia="pl-PL"/>
        </w:rPr>
        <w:t>Zmiany w rejestrze – przeciwciała monoklonalne COVID-19</w:t>
      </w:r>
    </w:p>
    <w:p w14:paraId="0F8BF2B8" w14:textId="77777777" w:rsidR="00A25D7C" w:rsidRPr="00A25D7C" w:rsidRDefault="00A25D7C" w:rsidP="00EC5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4" w:lineRule="auto"/>
        <w:jc w:val="both"/>
        <w:rPr>
          <w:rFonts w:ascii="Arial" w:eastAsia="Times New Roman" w:hAnsi="Arial" w:cs="Arial"/>
          <w:lang w:eastAsia="pl-PL"/>
        </w:rPr>
      </w:pPr>
    </w:p>
    <w:p w14:paraId="06EB2DB3" w14:textId="77777777" w:rsidR="00A25D7C" w:rsidRPr="00A25D7C" w:rsidRDefault="00A25D7C" w:rsidP="00EC5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4" w:lineRule="auto"/>
        <w:jc w:val="both"/>
        <w:rPr>
          <w:rFonts w:ascii="Arial" w:eastAsia="Times New Roman" w:hAnsi="Arial" w:cs="Arial"/>
          <w:lang w:eastAsia="pl-PL"/>
        </w:rPr>
      </w:pPr>
      <w:r w:rsidRPr="00A25D7C">
        <w:rPr>
          <w:rFonts w:ascii="Arial" w:eastAsia="Times New Roman" w:hAnsi="Arial" w:cs="Arial"/>
          <w:lang w:eastAsia="pl-PL"/>
        </w:rPr>
        <w:t xml:space="preserve">Niniejszym informuje się użytkowników rejestrów leków podlegających monitoringowi, że po opublikowaniu oznaczenia AIFA nr 911 w GU n.187 z dnia 06.08.2021, począwszy od 08.07.2021 możliwe jest również stosowanie przeciwciała monoklonalnego </w:t>
      </w:r>
      <w:proofErr w:type="spellStart"/>
      <w:r w:rsidRPr="00A25D7C">
        <w:rPr>
          <w:rFonts w:ascii="Arial" w:eastAsia="Times New Roman" w:hAnsi="Arial" w:cs="Arial"/>
          <w:lang w:eastAsia="pl-PL"/>
        </w:rPr>
        <w:t>sotrowimab</w:t>
      </w:r>
      <w:proofErr w:type="spellEnd"/>
      <w:r w:rsidRPr="00A25D7C">
        <w:rPr>
          <w:rFonts w:ascii="Arial" w:eastAsia="Times New Roman" w:hAnsi="Arial" w:cs="Arial"/>
          <w:lang w:eastAsia="pl-PL"/>
        </w:rPr>
        <w:t>, dla następujących wskazań terapeutycznych:</w:t>
      </w:r>
    </w:p>
    <w:p w14:paraId="0744EFFE" w14:textId="77777777" w:rsidR="00A25D7C" w:rsidRPr="00A25D7C" w:rsidRDefault="00A25D7C" w:rsidP="00EC5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4" w:lineRule="auto"/>
        <w:jc w:val="both"/>
        <w:rPr>
          <w:rFonts w:ascii="Arial" w:eastAsia="Times New Roman" w:hAnsi="Arial" w:cs="Arial"/>
          <w:lang w:eastAsia="pl-PL"/>
        </w:rPr>
      </w:pPr>
    </w:p>
    <w:p w14:paraId="7AB78D15" w14:textId="77777777" w:rsidR="00A25D7C" w:rsidRPr="00A25D7C" w:rsidRDefault="00A25D7C" w:rsidP="00EC5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4" w:lineRule="auto"/>
        <w:jc w:val="both"/>
        <w:rPr>
          <w:rFonts w:ascii="Arial" w:eastAsia="Times New Roman" w:hAnsi="Arial" w:cs="Arial"/>
          <w:lang w:eastAsia="pl-PL"/>
        </w:rPr>
      </w:pPr>
      <w:r w:rsidRPr="00A25D7C">
        <w:rPr>
          <w:rFonts w:ascii="Arial" w:eastAsia="Times New Roman" w:hAnsi="Arial" w:cs="Arial"/>
          <w:lang w:eastAsia="pl-PL"/>
        </w:rPr>
        <w:t xml:space="preserve">„Leczenie łagodnej lub umiarkowanej choroby </w:t>
      </w:r>
      <w:proofErr w:type="spellStart"/>
      <w:r w:rsidRPr="00A25D7C">
        <w:rPr>
          <w:rFonts w:ascii="Arial" w:eastAsia="Times New Roman" w:hAnsi="Arial" w:cs="Arial"/>
          <w:lang w:eastAsia="pl-PL"/>
        </w:rPr>
        <w:t>koronawirusowej</w:t>
      </w:r>
      <w:proofErr w:type="spellEnd"/>
      <w:r w:rsidRPr="00A25D7C">
        <w:rPr>
          <w:rFonts w:ascii="Arial" w:eastAsia="Times New Roman" w:hAnsi="Arial" w:cs="Arial"/>
          <w:lang w:eastAsia="pl-PL"/>
        </w:rPr>
        <w:t xml:space="preserve"> 2019 (COVID-19) u dorosłych i młodzieży w wieku 12 lat i starszych nie hospitalizowanych z powodu COVID-19, którzy nie wymagają dodatkowej tlenoterapii w przypadku COVID-19 i którzy są z wysokim ryzykiem ciężkiej progresji na COVID-19”.</w:t>
      </w:r>
    </w:p>
    <w:p w14:paraId="6EAC461A" w14:textId="77777777" w:rsidR="00A25D7C" w:rsidRPr="00A25D7C" w:rsidRDefault="00A25D7C" w:rsidP="00EC5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4" w:lineRule="auto"/>
        <w:jc w:val="both"/>
        <w:rPr>
          <w:rFonts w:ascii="Arial" w:eastAsia="Times New Roman" w:hAnsi="Arial" w:cs="Arial"/>
          <w:lang w:eastAsia="pl-PL"/>
        </w:rPr>
      </w:pPr>
    </w:p>
    <w:p w14:paraId="620A4DCD" w14:textId="77777777" w:rsidR="00A25D7C" w:rsidRPr="00A25D7C" w:rsidRDefault="00A25D7C" w:rsidP="00EC5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4" w:lineRule="auto"/>
        <w:jc w:val="both"/>
        <w:rPr>
          <w:rFonts w:ascii="Arial" w:eastAsia="Times New Roman" w:hAnsi="Arial" w:cs="Arial"/>
          <w:lang w:eastAsia="pl-PL"/>
        </w:rPr>
      </w:pPr>
      <w:r w:rsidRPr="00A25D7C">
        <w:rPr>
          <w:rFonts w:ascii="Arial" w:eastAsia="Times New Roman" w:hAnsi="Arial" w:cs="Arial"/>
          <w:lang w:eastAsia="pl-PL"/>
        </w:rPr>
        <w:t xml:space="preserve">Ponadto, we wdrożeniu Oznaczenia AIFA nr 912, możliwe jest zastosowanie kombinacji </w:t>
      </w:r>
      <w:proofErr w:type="spellStart"/>
      <w:r w:rsidRPr="00A25D7C">
        <w:rPr>
          <w:rFonts w:ascii="Arial" w:eastAsia="Times New Roman" w:hAnsi="Arial" w:cs="Arial"/>
          <w:lang w:eastAsia="pl-PL"/>
        </w:rPr>
        <w:t>casirivimab</w:t>
      </w:r>
      <w:proofErr w:type="spellEnd"/>
      <w:r w:rsidRPr="00A25D7C">
        <w:rPr>
          <w:rFonts w:ascii="Arial" w:eastAsia="Times New Roman" w:hAnsi="Arial" w:cs="Arial"/>
          <w:lang w:eastAsia="pl-PL"/>
        </w:rPr>
        <w:t xml:space="preserve"> + </w:t>
      </w:r>
      <w:proofErr w:type="spellStart"/>
      <w:r w:rsidRPr="00A25D7C">
        <w:rPr>
          <w:rFonts w:ascii="Arial" w:eastAsia="Times New Roman" w:hAnsi="Arial" w:cs="Arial"/>
          <w:lang w:eastAsia="pl-PL"/>
        </w:rPr>
        <w:t>imdevimab</w:t>
      </w:r>
      <w:proofErr w:type="spellEnd"/>
      <w:r w:rsidRPr="00A25D7C">
        <w:rPr>
          <w:rFonts w:ascii="Arial" w:eastAsia="Times New Roman" w:hAnsi="Arial" w:cs="Arial"/>
          <w:lang w:eastAsia="pl-PL"/>
        </w:rPr>
        <w:t xml:space="preserve"> w dawce 4.000mg + 4.000mg w następujących wskazaniach terapeutycznych:</w:t>
      </w:r>
    </w:p>
    <w:p w14:paraId="7D1A649B" w14:textId="77777777" w:rsidR="00A25D7C" w:rsidRPr="00A25D7C" w:rsidRDefault="00A25D7C" w:rsidP="00EC5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4" w:lineRule="auto"/>
        <w:jc w:val="both"/>
        <w:rPr>
          <w:rFonts w:ascii="Arial" w:eastAsia="Times New Roman" w:hAnsi="Arial" w:cs="Arial"/>
          <w:lang w:eastAsia="pl-PL"/>
        </w:rPr>
      </w:pPr>
      <w:r w:rsidRPr="00A25D7C">
        <w:rPr>
          <w:rFonts w:ascii="Arial" w:eastAsia="Times New Roman" w:hAnsi="Arial" w:cs="Arial"/>
          <w:lang w:eastAsia="pl-PL"/>
        </w:rPr>
        <w:t>„Leczenie pacjentów hospitalizowanych z powodu COVID-19, w tym na tlenoterapii uzupełniającej (z wyłączeniem tlenoterapii wysokoprzepływowej lub wentylacji mechanicznej), z ujemną serologią na przeciwciała SARSCoV-2 anty-</w:t>
      </w:r>
      <w:proofErr w:type="spellStart"/>
      <w:r w:rsidRPr="00A25D7C">
        <w:rPr>
          <w:rFonts w:ascii="Arial" w:eastAsia="Times New Roman" w:hAnsi="Arial" w:cs="Arial"/>
          <w:lang w:eastAsia="pl-PL"/>
        </w:rPr>
        <w:t>Spike</w:t>
      </w:r>
      <w:proofErr w:type="spellEnd"/>
      <w:r w:rsidRPr="00A25D7C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Pr="00A25D7C">
        <w:rPr>
          <w:rFonts w:ascii="Arial" w:eastAsia="Times New Roman" w:hAnsi="Arial" w:cs="Arial"/>
          <w:lang w:eastAsia="pl-PL"/>
        </w:rPr>
        <w:t>IgG</w:t>
      </w:r>
      <w:proofErr w:type="spellEnd"/>
      <w:r w:rsidRPr="00A25D7C">
        <w:rPr>
          <w:rFonts w:ascii="Arial" w:eastAsia="Times New Roman" w:hAnsi="Arial" w:cs="Arial"/>
          <w:lang w:eastAsia="pl-PL"/>
        </w:rPr>
        <w:t>”.</w:t>
      </w:r>
    </w:p>
    <w:p w14:paraId="3B61BAE2" w14:textId="29FFCD96" w:rsidR="00665E0C" w:rsidRPr="00EC52E8" w:rsidRDefault="00665E0C" w:rsidP="00EC52E8">
      <w:pPr>
        <w:spacing w:after="0" w:line="274" w:lineRule="auto"/>
        <w:jc w:val="both"/>
        <w:rPr>
          <w:rFonts w:ascii="Arial" w:hAnsi="Arial" w:cs="Arial"/>
        </w:rPr>
      </w:pPr>
    </w:p>
    <w:p w14:paraId="294345F6" w14:textId="77777777" w:rsidR="00EC52E8" w:rsidRPr="00EC52E8" w:rsidRDefault="00EC52E8" w:rsidP="00EC52E8">
      <w:pPr>
        <w:pStyle w:val="HTML-wstpniesformatowany"/>
        <w:spacing w:line="274" w:lineRule="auto"/>
        <w:jc w:val="both"/>
        <w:rPr>
          <w:rStyle w:val="y2iqfc"/>
          <w:rFonts w:ascii="Arial" w:hAnsi="Arial" w:cs="Arial"/>
          <w:sz w:val="22"/>
          <w:szCs w:val="22"/>
        </w:rPr>
      </w:pPr>
      <w:r w:rsidRPr="00EC52E8">
        <w:rPr>
          <w:rStyle w:val="y2iqfc"/>
          <w:rFonts w:ascii="Arial" w:hAnsi="Arial" w:cs="Arial"/>
          <w:sz w:val="22"/>
          <w:szCs w:val="22"/>
        </w:rPr>
        <w:t>Zwraca się uwagę na fakt, że obecnie dostępne przeciwciała monoklonalne anty-SARS-CoV-2, choć mają pokrywające się wskazania do stosowania, różnią się od siebie, na podstawie najnowszych danych literaturowych, zdolnością do neutralizacji różnych krążących wariantów. Wszystkie przeciwciała anty-SARS-CoV-2 dostępne we Włoszech (</w:t>
      </w:r>
      <w:proofErr w:type="spellStart"/>
      <w:r w:rsidRPr="00EC52E8">
        <w:rPr>
          <w:rStyle w:val="y2iqfc"/>
          <w:rFonts w:ascii="Arial" w:hAnsi="Arial" w:cs="Arial"/>
          <w:sz w:val="22"/>
          <w:szCs w:val="22"/>
        </w:rPr>
        <w:t>bamlanivamb</w:t>
      </w:r>
      <w:proofErr w:type="spellEnd"/>
      <w:r w:rsidRPr="00EC52E8">
        <w:rPr>
          <w:rStyle w:val="y2iqfc"/>
          <w:rFonts w:ascii="Arial" w:hAnsi="Arial" w:cs="Arial"/>
          <w:sz w:val="22"/>
          <w:szCs w:val="22"/>
        </w:rPr>
        <w:t xml:space="preserve"> / </w:t>
      </w:r>
      <w:proofErr w:type="spellStart"/>
      <w:r w:rsidRPr="00EC52E8">
        <w:rPr>
          <w:rStyle w:val="y2iqfc"/>
          <w:rFonts w:ascii="Arial" w:hAnsi="Arial" w:cs="Arial"/>
          <w:sz w:val="22"/>
          <w:szCs w:val="22"/>
        </w:rPr>
        <w:t>etesevimab</w:t>
      </w:r>
      <w:proofErr w:type="spellEnd"/>
      <w:r w:rsidRPr="00EC52E8">
        <w:rPr>
          <w:rStyle w:val="y2iqfc"/>
          <w:rFonts w:ascii="Arial" w:hAnsi="Arial" w:cs="Arial"/>
          <w:sz w:val="22"/>
          <w:szCs w:val="22"/>
        </w:rPr>
        <w:t xml:space="preserve">, </w:t>
      </w:r>
      <w:proofErr w:type="spellStart"/>
      <w:r w:rsidRPr="00EC52E8">
        <w:rPr>
          <w:rStyle w:val="y2iqfc"/>
          <w:rFonts w:ascii="Arial" w:hAnsi="Arial" w:cs="Arial"/>
          <w:sz w:val="22"/>
          <w:szCs w:val="22"/>
        </w:rPr>
        <w:t>casirivimab</w:t>
      </w:r>
      <w:proofErr w:type="spellEnd"/>
      <w:r w:rsidRPr="00EC52E8">
        <w:rPr>
          <w:rStyle w:val="y2iqfc"/>
          <w:rFonts w:ascii="Arial" w:hAnsi="Arial" w:cs="Arial"/>
          <w:sz w:val="22"/>
          <w:szCs w:val="22"/>
        </w:rPr>
        <w:t xml:space="preserve"> / </w:t>
      </w:r>
      <w:proofErr w:type="spellStart"/>
      <w:r w:rsidRPr="00EC52E8">
        <w:rPr>
          <w:rStyle w:val="y2iqfc"/>
          <w:rFonts w:ascii="Arial" w:hAnsi="Arial" w:cs="Arial"/>
          <w:sz w:val="22"/>
          <w:szCs w:val="22"/>
        </w:rPr>
        <w:t>imdevimab</w:t>
      </w:r>
      <w:proofErr w:type="spellEnd"/>
      <w:r w:rsidRPr="00EC52E8">
        <w:rPr>
          <w:rStyle w:val="y2iqfc"/>
          <w:rFonts w:ascii="Arial" w:hAnsi="Arial" w:cs="Arial"/>
          <w:sz w:val="22"/>
          <w:szCs w:val="22"/>
        </w:rPr>
        <w:t xml:space="preserve"> i </w:t>
      </w:r>
      <w:proofErr w:type="spellStart"/>
      <w:r w:rsidRPr="00EC52E8">
        <w:rPr>
          <w:rStyle w:val="y2iqfc"/>
          <w:rFonts w:ascii="Arial" w:hAnsi="Arial" w:cs="Arial"/>
          <w:sz w:val="22"/>
          <w:szCs w:val="22"/>
        </w:rPr>
        <w:t>sotrovimab</w:t>
      </w:r>
      <w:proofErr w:type="spellEnd"/>
      <w:r w:rsidRPr="00EC52E8">
        <w:rPr>
          <w:rStyle w:val="y2iqfc"/>
          <w:rFonts w:ascii="Arial" w:hAnsi="Arial" w:cs="Arial"/>
          <w:sz w:val="22"/>
          <w:szCs w:val="22"/>
        </w:rPr>
        <w:t xml:space="preserve">) utrzymują odpowiednią aktywność przeciwwirusową przeciwko alfa (linia B.1.1.7) i delta (linia B.1.617).2), natomiast aktywność neutralizująca kombinacji </w:t>
      </w:r>
      <w:proofErr w:type="spellStart"/>
      <w:r w:rsidRPr="00EC52E8">
        <w:rPr>
          <w:rStyle w:val="y2iqfc"/>
          <w:rFonts w:ascii="Arial" w:hAnsi="Arial" w:cs="Arial"/>
          <w:sz w:val="22"/>
          <w:szCs w:val="22"/>
        </w:rPr>
        <w:t>bamlanivamb</w:t>
      </w:r>
      <w:proofErr w:type="spellEnd"/>
      <w:r w:rsidRPr="00EC52E8">
        <w:rPr>
          <w:rStyle w:val="y2iqfc"/>
          <w:rFonts w:ascii="Arial" w:hAnsi="Arial" w:cs="Arial"/>
          <w:sz w:val="22"/>
          <w:szCs w:val="22"/>
        </w:rPr>
        <w:t>/</w:t>
      </w:r>
      <w:proofErr w:type="spellStart"/>
      <w:r w:rsidRPr="00EC52E8">
        <w:rPr>
          <w:rStyle w:val="y2iqfc"/>
          <w:rFonts w:ascii="Arial" w:hAnsi="Arial" w:cs="Arial"/>
          <w:sz w:val="22"/>
          <w:szCs w:val="22"/>
        </w:rPr>
        <w:t>etesevimab</w:t>
      </w:r>
      <w:proofErr w:type="spellEnd"/>
      <w:r w:rsidRPr="00EC52E8">
        <w:rPr>
          <w:rStyle w:val="y2iqfc"/>
          <w:rFonts w:ascii="Arial" w:hAnsi="Arial" w:cs="Arial"/>
          <w:sz w:val="22"/>
          <w:szCs w:val="22"/>
        </w:rPr>
        <w:t>, w przeciwieństwie do innych dostępnych przeciwciał monoklonalnych (</w:t>
      </w:r>
      <w:proofErr w:type="spellStart"/>
      <w:r w:rsidRPr="00EC52E8">
        <w:rPr>
          <w:rStyle w:val="y2iqfc"/>
          <w:rFonts w:ascii="Arial" w:hAnsi="Arial" w:cs="Arial"/>
          <w:sz w:val="22"/>
          <w:szCs w:val="22"/>
        </w:rPr>
        <w:t>casirivimab</w:t>
      </w:r>
      <w:proofErr w:type="spellEnd"/>
      <w:r w:rsidRPr="00EC52E8">
        <w:rPr>
          <w:rStyle w:val="y2iqfc"/>
          <w:rFonts w:ascii="Arial" w:hAnsi="Arial" w:cs="Arial"/>
          <w:sz w:val="22"/>
          <w:szCs w:val="22"/>
        </w:rPr>
        <w:t>/</w:t>
      </w:r>
      <w:proofErr w:type="spellStart"/>
      <w:r w:rsidRPr="00EC52E8">
        <w:rPr>
          <w:rStyle w:val="y2iqfc"/>
          <w:rFonts w:ascii="Arial" w:hAnsi="Arial" w:cs="Arial"/>
          <w:sz w:val="22"/>
          <w:szCs w:val="22"/>
        </w:rPr>
        <w:t>imdevimab</w:t>
      </w:r>
      <w:proofErr w:type="spellEnd"/>
      <w:r w:rsidRPr="00EC52E8">
        <w:rPr>
          <w:rStyle w:val="y2iqfc"/>
          <w:rFonts w:ascii="Arial" w:hAnsi="Arial" w:cs="Arial"/>
          <w:sz w:val="22"/>
          <w:szCs w:val="22"/>
        </w:rPr>
        <w:t xml:space="preserve"> i </w:t>
      </w:r>
      <w:proofErr w:type="spellStart"/>
      <w:r w:rsidRPr="00EC52E8">
        <w:rPr>
          <w:rStyle w:val="y2iqfc"/>
          <w:rFonts w:ascii="Arial" w:hAnsi="Arial" w:cs="Arial"/>
          <w:sz w:val="22"/>
          <w:szCs w:val="22"/>
        </w:rPr>
        <w:t>sotrovimab</w:t>
      </w:r>
      <w:proofErr w:type="spellEnd"/>
      <w:r w:rsidRPr="00EC52E8">
        <w:rPr>
          <w:rStyle w:val="y2iqfc"/>
          <w:rFonts w:ascii="Arial" w:hAnsi="Arial" w:cs="Arial"/>
          <w:sz w:val="22"/>
          <w:szCs w:val="22"/>
        </w:rPr>
        <w:t xml:space="preserve">), jest silnie hamowana wobec wariantów beta (B.1.351) i gamma (P.1). W związku z tym, jeśli nie przeprowadzono </w:t>
      </w:r>
      <w:proofErr w:type="spellStart"/>
      <w:r w:rsidRPr="00EC52E8">
        <w:rPr>
          <w:rStyle w:val="y2iqfc"/>
          <w:rFonts w:ascii="Arial" w:hAnsi="Arial" w:cs="Arial"/>
          <w:sz w:val="22"/>
          <w:szCs w:val="22"/>
        </w:rPr>
        <w:t>genotypowania</w:t>
      </w:r>
      <w:proofErr w:type="spellEnd"/>
      <w:r w:rsidRPr="00EC52E8">
        <w:rPr>
          <w:rStyle w:val="y2iqfc"/>
          <w:rFonts w:ascii="Arial" w:hAnsi="Arial" w:cs="Arial"/>
          <w:sz w:val="22"/>
          <w:szCs w:val="22"/>
        </w:rPr>
        <w:t>/sekwencjonowania i biorąc pod uwagę epidemiologiczny kontekst odniesienia, należy uznać za preferowane przeciwciała monoklonalne, które są obecnie skuteczne wobec wszystkich wariantów (</w:t>
      </w:r>
      <w:proofErr w:type="spellStart"/>
      <w:r w:rsidRPr="00EC52E8">
        <w:rPr>
          <w:rStyle w:val="y2iqfc"/>
          <w:rFonts w:ascii="Arial" w:hAnsi="Arial" w:cs="Arial"/>
          <w:sz w:val="22"/>
          <w:szCs w:val="22"/>
        </w:rPr>
        <w:t>casirivimab</w:t>
      </w:r>
      <w:proofErr w:type="spellEnd"/>
      <w:r w:rsidRPr="00EC52E8">
        <w:rPr>
          <w:rStyle w:val="y2iqfc"/>
          <w:rFonts w:ascii="Arial" w:hAnsi="Arial" w:cs="Arial"/>
          <w:sz w:val="22"/>
          <w:szCs w:val="22"/>
        </w:rPr>
        <w:t>/</w:t>
      </w:r>
      <w:proofErr w:type="spellStart"/>
      <w:r w:rsidRPr="00EC52E8">
        <w:rPr>
          <w:rStyle w:val="y2iqfc"/>
          <w:rFonts w:ascii="Arial" w:hAnsi="Arial" w:cs="Arial"/>
          <w:sz w:val="22"/>
          <w:szCs w:val="22"/>
        </w:rPr>
        <w:t>imdevimab</w:t>
      </w:r>
      <w:proofErr w:type="spellEnd"/>
      <w:r w:rsidRPr="00EC52E8">
        <w:rPr>
          <w:rStyle w:val="y2iqfc"/>
          <w:rFonts w:ascii="Arial" w:hAnsi="Arial" w:cs="Arial"/>
          <w:sz w:val="22"/>
          <w:szCs w:val="22"/>
        </w:rPr>
        <w:t xml:space="preserve"> i </w:t>
      </w:r>
      <w:proofErr w:type="spellStart"/>
      <w:r w:rsidRPr="00EC52E8">
        <w:rPr>
          <w:rStyle w:val="y2iqfc"/>
          <w:rFonts w:ascii="Arial" w:hAnsi="Arial" w:cs="Arial"/>
          <w:sz w:val="22"/>
          <w:szCs w:val="22"/>
        </w:rPr>
        <w:t>sotrovimab</w:t>
      </w:r>
      <w:proofErr w:type="spellEnd"/>
      <w:r w:rsidRPr="00EC52E8">
        <w:rPr>
          <w:rStyle w:val="y2iqfc"/>
          <w:rFonts w:ascii="Arial" w:hAnsi="Arial" w:cs="Arial"/>
          <w:sz w:val="22"/>
          <w:szCs w:val="22"/>
        </w:rPr>
        <w:t>).</w:t>
      </w:r>
    </w:p>
    <w:p w14:paraId="14DFAFEF" w14:textId="77777777" w:rsidR="00EC52E8" w:rsidRPr="00EC52E8" w:rsidRDefault="00EC52E8" w:rsidP="00EC52E8">
      <w:pPr>
        <w:pStyle w:val="HTML-wstpniesformatowany"/>
        <w:spacing w:line="274" w:lineRule="auto"/>
        <w:jc w:val="both"/>
        <w:rPr>
          <w:rStyle w:val="y2iqfc"/>
          <w:rFonts w:ascii="Arial" w:hAnsi="Arial" w:cs="Arial"/>
          <w:sz w:val="22"/>
          <w:szCs w:val="22"/>
        </w:rPr>
      </w:pPr>
    </w:p>
    <w:p w14:paraId="646D14D3" w14:textId="77777777" w:rsidR="00EC52E8" w:rsidRPr="00EC52E8" w:rsidRDefault="00EC52E8" w:rsidP="00EC52E8">
      <w:pPr>
        <w:pStyle w:val="HTML-wstpniesformatowany"/>
        <w:spacing w:line="274" w:lineRule="auto"/>
        <w:jc w:val="both"/>
        <w:rPr>
          <w:rStyle w:val="y2iqfc"/>
          <w:rFonts w:ascii="Arial" w:hAnsi="Arial" w:cs="Arial"/>
          <w:sz w:val="22"/>
          <w:szCs w:val="22"/>
        </w:rPr>
      </w:pPr>
      <w:r w:rsidRPr="00EC52E8">
        <w:rPr>
          <w:rStyle w:val="y2iqfc"/>
          <w:rFonts w:ascii="Arial" w:hAnsi="Arial" w:cs="Arial"/>
          <w:sz w:val="22"/>
          <w:szCs w:val="22"/>
        </w:rPr>
        <w:t>(W celu kontroli wariantów SARS-Cov2 krążących we Włoszech należy zapoznać się z okresowymi raportami ISS dostępnymi pod następującym linkiem: https://www.iss.it/cov19-cosa-fa-iss-varianti)</w:t>
      </w:r>
    </w:p>
    <w:p w14:paraId="47C4DAE9" w14:textId="77777777" w:rsidR="00EC52E8" w:rsidRPr="00EC52E8" w:rsidRDefault="00EC52E8" w:rsidP="00EC52E8">
      <w:pPr>
        <w:pStyle w:val="HTML-wstpniesformatowany"/>
        <w:spacing w:line="274" w:lineRule="auto"/>
        <w:jc w:val="both"/>
        <w:rPr>
          <w:rStyle w:val="y2iqfc"/>
          <w:rFonts w:ascii="Arial" w:hAnsi="Arial" w:cs="Arial"/>
          <w:sz w:val="22"/>
          <w:szCs w:val="22"/>
        </w:rPr>
      </w:pPr>
      <w:r w:rsidRPr="00EC52E8">
        <w:rPr>
          <w:rStyle w:val="y2iqfc"/>
          <w:rFonts w:ascii="Arial" w:hAnsi="Arial" w:cs="Arial"/>
          <w:sz w:val="22"/>
          <w:szCs w:val="22"/>
        </w:rPr>
        <w:t>Podsumowując, lekarzom przypomina się, że recepty na zatwierdzone przeciwciała monoklonalne dla danego wskazania muszą być realizowane zgodnie z kryteriami kwalifikacji i nakazowymi określonymi w dokumentacji klinicznej, którą można pobrać w formacie .zip, z listy „Rejestrów aktywnych i PT . osiągalny z pola „Linki pokrewne”.</w:t>
      </w:r>
    </w:p>
    <w:p w14:paraId="660F0AF0" w14:textId="77777777" w:rsidR="00EC52E8" w:rsidRPr="00EC52E8" w:rsidRDefault="00EC52E8" w:rsidP="00EC52E8">
      <w:pPr>
        <w:pStyle w:val="HTML-wstpniesformatowany"/>
        <w:spacing w:line="274" w:lineRule="auto"/>
        <w:jc w:val="both"/>
        <w:rPr>
          <w:rStyle w:val="y2iqfc"/>
          <w:rFonts w:ascii="Arial" w:hAnsi="Arial" w:cs="Arial"/>
          <w:sz w:val="22"/>
          <w:szCs w:val="22"/>
        </w:rPr>
      </w:pPr>
    </w:p>
    <w:p w14:paraId="6A238169" w14:textId="77777777" w:rsidR="00EC52E8" w:rsidRPr="00EC52E8" w:rsidRDefault="00EC52E8" w:rsidP="00EC52E8">
      <w:pPr>
        <w:pStyle w:val="HTML-wstpniesformatowany"/>
        <w:spacing w:line="274" w:lineRule="auto"/>
        <w:jc w:val="both"/>
        <w:rPr>
          <w:rStyle w:val="y2iqfc"/>
          <w:rFonts w:ascii="Arial" w:hAnsi="Arial" w:cs="Arial"/>
          <w:sz w:val="22"/>
          <w:szCs w:val="22"/>
        </w:rPr>
      </w:pPr>
      <w:r w:rsidRPr="00EC52E8">
        <w:rPr>
          <w:rStyle w:val="y2iqfc"/>
          <w:rFonts w:ascii="Arial" w:hAnsi="Arial" w:cs="Arial"/>
          <w:sz w:val="22"/>
          <w:szCs w:val="22"/>
        </w:rPr>
        <w:t>Wreszcie sprecyzowano, że od 10.08.2021 r. przedmiotowy, zmodyfikowany rejestr jest dostępny na platformie internetowej; w związku z tym, biorąc pod uwagę dostępność nowych produktów, regionalne kontakty proszone są o przystąpienie do autoryzacji autoryzowanych placówek medycznych, uzyskujących dostęp do systemu.</w:t>
      </w:r>
    </w:p>
    <w:p w14:paraId="6F288C62" w14:textId="77777777" w:rsidR="00EC52E8" w:rsidRPr="00EC52E8" w:rsidRDefault="00EC52E8" w:rsidP="00EC52E8">
      <w:pPr>
        <w:pStyle w:val="HTML-wstpniesformatowany"/>
        <w:spacing w:line="274" w:lineRule="auto"/>
        <w:jc w:val="both"/>
        <w:rPr>
          <w:rStyle w:val="y2iqfc"/>
          <w:rFonts w:ascii="Arial" w:hAnsi="Arial" w:cs="Arial"/>
          <w:sz w:val="22"/>
          <w:szCs w:val="22"/>
        </w:rPr>
      </w:pPr>
    </w:p>
    <w:p w14:paraId="019E7362" w14:textId="77777777" w:rsidR="00EC52E8" w:rsidRPr="00EC52E8" w:rsidRDefault="00EC52E8" w:rsidP="00EC52E8">
      <w:pPr>
        <w:pStyle w:val="HTML-wstpniesformatowany"/>
        <w:spacing w:line="274" w:lineRule="auto"/>
        <w:jc w:val="both"/>
        <w:rPr>
          <w:rStyle w:val="y2iqfc"/>
          <w:rFonts w:ascii="Arial" w:hAnsi="Arial" w:cs="Arial"/>
          <w:sz w:val="22"/>
          <w:szCs w:val="22"/>
        </w:rPr>
      </w:pPr>
      <w:r w:rsidRPr="00EC52E8">
        <w:rPr>
          <w:rStyle w:val="y2iqfc"/>
          <w:rFonts w:ascii="Arial" w:hAnsi="Arial" w:cs="Arial"/>
          <w:sz w:val="22"/>
          <w:szCs w:val="22"/>
        </w:rPr>
        <w:t>Biuro Ewidencji Monitoringu</w:t>
      </w:r>
    </w:p>
    <w:p w14:paraId="557EB252" w14:textId="3C63D389" w:rsidR="00EC52E8" w:rsidRPr="00EC52E8" w:rsidRDefault="00EC52E8" w:rsidP="00EC52E8">
      <w:pPr>
        <w:pStyle w:val="HTML-wstpniesformatowany"/>
        <w:spacing w:line="274" w:lineRule="auto"/>
        <w:jc w:val="both"/>
        <w:rPr>
          <w:rFonts w:ascii="Arial" w:hAnsi="Arial" w:cs="Arial"/>
          <w:sz w:val="22"/>
          <w:szCs w:val="22"/>
        </w:rPr>
      </w:pPr>
      <w:r w:rsidRPr="00EC52E8">
        <w:rPr>
          <w:rStyle w:val="y2iqfc"/>
          <w:rFonts w:ascii="Arial" w:hAnsi="Arial" w:cs="Arial"/>
          <w:sz w:val="22"/>
          <w:szCs w:val="22"/>
        </w:rPr>
        <w:t>Opublikowano: 10 sierpnia 2021</w:t>
      </w:r>
    </w:p>
    <w:sectPr w:rsidR="00EC52E8" w:rsidRPr="00EC52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55C"/>
    <w:rsid w:val="002C6264"/>
    <w:rsid w:val="004A755C"/>
    <w:rsid w:val="00665E0C"/>
    <w:rsid w:val="00A25D7C"/>
    <w:rsid w:val="00EC5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0CD2C"/>
  <w15:chartTrackingRefBased/>
  <w15:docId w15:val="{FEDE0346-296E-418E-8AC8-EFA4080D7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25D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A25D7C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y2iqfc">
    <w:name w:val="y2iqfc"/>
    <w:basedOn w:val="Domylnaczcionkaakapitu"/>
    <w:rsid w:val="00A25D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1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2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8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430</Words>
  <Characters>2580</Characters>
  <Application>Microsoft Office Word</Application>
  <DocSecurity>0</DocSecurity>
  <Lines>21</Lines>
  <Paragraphs>6</Paragraphs>
  <ScaleCrop>false</ScaleCrop>
  <Company/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 tarnawa</dc:creator>
  <cp:keywords/>
  <dc:description/>
  <cp:lastModifiedBy>kasia tarnawa</cp:lastModifiedBy>
  <cp:revision>3</cp:revision>
  <dcterms:created xsi:type="dcterms:W3CDTF">2021-08-18T17:24:00Z</dcterms:created>
  <dcterms:modified xsi:type="dcterms:W3CDTF">2021-08-18T17:29:00Z</dcterms:modified>
</cp:coreProperties>
</file>